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9A" w:rsidRPr="00C5781F" w:rsidRDefault="000E049A" w:rsidP="00F60300">
      <w:pPr>
        <w:spacing w:after="0"/>
        <w:rPr>
          <w:rFonts w:ascii="Monotype Corsiva" w:hAnsi="Monotype Corsiva"/>
          <w:sz w:val="36"/>
        </w:rPr>
      </w:pPr>
      <w:r w:rsidRPr="00C5781F">
        <w:rPr>
          <w:rFonts w:ascii="Monotype Corsiva" w:hAnsi="Monotype Corsiva"/>
          <w:sz w:val="32"/>
        </w:rPr>
        <w:t>Prof. dr hab. inż. Ryszard Tadeusiewicz</w:t>
      </w:r>
    </w:p>
    <w:p w:rsidR="000E049A" w:rsidRPr="00594F9B" w:rsidRDefault="0039588E" w:rsidP="00594F9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</w:rPr>
      </w:pPr>
      <w:hyperlink r:id="rId6" w:tgtFrame="_blank" w:history="1">
        <w:r w:rsidR="000E049A" w:rsidRPr="00594F9B">
          <w:rPr>
            <w:rFonts w:eastAsia="Times New Roman" w:cs="Arial"/>
            <w:color w:val="1155CC"/>
            <w:sz w:val="18"/>
            <w:szCs w:val="18"/>
            <w:u w:val="single"/>
          </w:rPr>
          <w:t>rtad@agh.edu.pl</w:t>
        </w:r>
      </w:hyperlink>
      <w:r w:rsidR="000E049A" w:rsidRPr="00594F9B">
        <w:rPr>
          <w:rFonts w:eastAsia="Times New Roman" w:cs="Arial"/>
          <w:color w:val="222222"/>
          <w:sz w:val="18"/>
          <w:szCs w:val="18"/>
        </w:rPr>
        <w:t>; </w:t>
      </w:r>
      <w:hyperlink r:id="rId7" w:tgtFrame="_blank" w:history="1">
        <w:r w:rsidR="000E049A" w:rsidRPr="00594F9B">
          <w:rPr>
            <w:rFonts w:eastAsia="Times New Roman" w:cs="Arial"/>
            <w:color w:val="1155CC"/>
            <w:sz w:val="18"/>
            <w:szCs w:val="18"/>
            <w:u w:val="single"/>
          </w:rPr>
          <w:t>www.tadeusiewicz.pl</w:t>
        </w:r>
      </w:hyperlink>
      <w:r w:rsidR="000E049A" w:rsidRPr="00594F9B">
        <w:rPr>
          <w:rFonts w:eastAsia="Times New Roman" w:cs="Arial"/>
          <w:color w:val="222222"/>
          <w:sz w:val="18"/>
          <w:szCs w:val="18"/>
        </w:rPr>
        <w:t>; 30-059 Kraków, al. Mickiewicza 30;</w:t>
      </w:r>
    </w:p>
    <w:p w:rsidR="000E049A" w:rsidRDefault="000E049A" w:rsidP="00594F9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</w:rPr>
      </w:pPr>
      <w:r w:rsidRPr="00594F9B">
        <w:rPr>
          <w:rFonts w:eastAsia="Times New Roman" w:cs="Arial"/>
          <w:color w:val="222222"/>
          <w:sz w:val="18"/>
          <w:szCs w:val="18"/>
        </w:rPr>
        <w:t>Doktor Honoris Causa dwunastu uczelni krajowych i zagranicznych;</w:t>
      </w:r>
      <w:r>
        <w:rPr>
          <w:rFonts w:eastAsia="Times New Roman" w:cs="Arial"/>
          <w:color w:val="222222"/>
          <w:sz w:val="18"/>
          <w:szCs w:val="18"/>
        </w:rPr>
        <w:t xml:space="preserve"> </w:t>
      </w:r>
    </w:p>
    <w:p w:rsidR="000E049A" w:rsidRPr="00594F9B" w:rsidRDefault="000E049A" w:rsidP="00594F9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color w:val="222222"/>
          <w:sz w:val="18"/>
          <w:szCs w:val="18"/>
        </w:rPr>
        <w:t>Członek Rzeczywisty  Polskiej Akademii Nauk, były Prezes Oddziału PAN</w:t>
      </w:r>
    </w:p>
    <w:p w:rsidR="000E049A" w:rsidRPr="00594F9B" w:rsidRDefault="000E049A" w:rsidP="00594F9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</w:rPr>
      </w:pPr>
      <w:r w:rsidRPr="00594F9B">
        <w:rPr>
          <w:rFonts w:eastAsia="Times New Roman" w:cs="Arial"/>
          <w:color w:val="222222"/>
          <w:sz w:val="18"/>
          <w:szCs w:val="18"/>
        </w:rPr>
        <w:t>Członek Polskiej Akademii Umiejętności; Członek Akademii Inżynierskiej;</w:t>
      </w:r>
    </w:p>
    <w:p w:rsidR="000E049A" w:rsidRPr="00023E7C" w:rsidRDefault="000E049A" w:rsidP="00594F9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val="en-GB"/>
        </w:rPr>
      </w:pPr>
      <w:r w:rsidRPr="00023E7C">
        <w:rPr>
          <w:rFonts w:eastAsia="Times New Roman" w:cs="Arial"/>
          <w:color w:val="222222"/>
          <w:sz w:val="18"/>
          <w:szCs w:val="18"/>
          <w:lang w:val="en-GB"/>
        </w:rPr>
        <w:t>Fellow of World Academy of Art. And Science; Euro-engineer FEANI;</w:t>
      </w:r>
    </w:p>
    <w:p w:rsidR="009F4E32" w:rsidRPr="00023E7C" w:rsidRDefault="000E049A">
      <w:pPr>
        <w:rPr>
          <w:rFonts w:eastAsia="Times New Roman" w:cs="Arial"/>
          <w:color w:val="222222"/>
          <w:sz w:val="18"/>
          <w:szCs w:val="18"/>
          <w:lang w:val="en-GB" w:eastAsia="pl-PL"/>
        </w:rPr>
      </w:pPr>
      <w:r w:rsidRPr="00023E7C">
        <w:rPr>
          <w:rFonts w:eastAsia="Times New Roman" w:cs="Arial"/>
          <w:color w:val="222222"/>
          <w:sz w:val="18"/>
          <w:szCs w:val="18"/>
          <w:lang w:val="en-GB" w:eastAsia="pl-PL"/>
        </w:rPr>
        <w:t>Senior Member of IEEE; professional member of ACM; member of SPIE</w:t>
      </w:r>
    </w:p>
    <w:p w:rsidR="000E049A" w:rsidRDefault="000E049A" w:rsidP="000E049A">
      <w:pPr>
        <w:jc w:val="right"/>
        <w:rPr>
          <w:rFonts w:eastAsia="Times New Roman" w:cs="Arial"/>
          <w:color w:val="222222"/>
          <w:sz w:val="18"/>
          <w:szCs w:val="18"/>
          <w:lang w:eastAsia="pl-PL"/>
        </w:rPr>
      </w:pPr>
      <w:r>
        <w:rPr>
          <w:rFonts w:eastAsia="Times New Roman" w:cs="Arial"/>
          <w:color w:val="222222"/>
          <w:sz w:val="18"/>
          <w:szCs w:val="18"/>
          <w:lang w:eastAsia="pl-PL"/>
        </w:rPr>
        <w:t>Kraków, 4 sierpnia 2017</w:t>
      </w:r>
    </w:p>
    <w:p w:rsidR="000E049A" w:rsidRDefault="000E049A" w:rsidP="000E049A">
      <w:pPr>
        <w:pStyle w:val="Nagwek1"/>
        <w:jc w:val="center"/>
      </w:pPr>
      <w:r>
        <w:t>Recenzja rozprawy doktorskiej</w:t>
      </w:r>
    </w:p>
    <w:p w:rsidR="000E049A" w:rsidRDefault="000E049A" w:rsidP="009F3397">
      <w:pPr>
        <w:spacing w:before="240" w:line="360" w:lineRule="auto"/>
        <w:jc w:val="both"/>
      </w:pPr>
      <w:r>
        <w:t>Przedmiotem recenzji jest rozprawa doktorska zatytułowana „</w:t>
      </w:r>
      <w:r>
        <w:rPr>
          <w:b/>
          <w:i/>
        </w:rPr>
        <w:t>Analiza i prognozowanie wyników leczenia przewlekłej białaczki limfocytowej B-komórkowej z zastosowaniem metod bayesowskich”</w:t>
      </w:r>
      <w:r>
        <w:t>. Autork</w:t>
      </w:r>
      <w:r w:rsidR="0010409C">
        <w:t>ą opiniowanej rozprawy jest mgr</w:t>
      </w:r>
      <w:r>
        <w:t xml:space="preserve"> inż. </w:t>
      </w:r>
      <w:r w:rsidRPr="000E049A">
        <w:rPr>
          <w:b/>
        </w:rPr>
        <w:t>Maria Molik</w:t>
      </w:r>
      <w:r>
        <w:t>, a jej promotorem prof. dr hab. inż. Piotr Ładyżyński</w:t>
      </w:r>
      <w:r w:rsidR="009F3397">
        <w:t xml:space="preserve">. Praca jest przedłożona Radzie Naukowej Instytutu Biocybernetyki i Inżynierii Biomedycznej PAN, a niniejsza recenzja </w:t>
      </w:r>
      <w:r w:rsidR="007B7149">
        <w:t xml:space="preserve">jest sporządzana na zlecenie Zastępcy Dyrektora IBIB PAN, profesora Jacka Waniewskiego (pismo nr SRN/003/171/2016 z dnia 10 lipca 2017 r.). </w:t>
      </w:r>
      <w:r w:rsidR="001268ED">
        <w:t xml:space="preserve">Opiniowana rozprawa jest bardzo obszerna (186 stronic druku) i po jej przeczytaniu mam wątpliwość, czy powinna być aż tak bardzo obszerna. Ale nie zamierzam tego wątku drążyć w mojej recenzji. </w:t>
      </w:r>
    </w:p>
    <w:p w:rsidR="0055013B" w:rsidRDefault="007B7149" w:rsidP="009F3397">
      <w:pPr>
        <w:spacing w:before="240" w:line="360" w:lineRule="auto"/>
        <w:jc w:val="both"/>
      </w:pPr>
      <w:r>
        <w:t xml:space="preserve">Jak stwierdzono na stronie 14 rozprawy jej </w:t>
      </w:r>
      <w:r w:rsidRPr="007B7149">
        <w:rPr>
          <w:b/>
        </w:rPr>
        <w:t>celem</w:t>
      </w:r>
      <w:r>
        <w:t xml:space="preserve"> jest opracowanie zestawu narzędzi analitycznych do prognozowania przebiegu i wyniku leczenia przewlekłej białaczki limfocytowej</w:t>
      </w:r>
      <w:r w:rsidR="0055013B">
        <w:t xml:space="preserve"> </w:t>
      </w:r>
      <w:r w:rsidR="00034972">
        <w:t>(w pracy stosowany jest skrót CL</w:t>
      </w:r>
      <w:r w:rsidR="0055013B">
        <w:t>L i tego skrótu zamierzam także używać w recenzji)</w:t>
      </w:r>
      <w:r>
        <w:t xml:space="preserve">. </w:t>
      </w:r>
      <w:r>
        <w:rPr>
          <w:b/>
        </w:rPr>
        <w:t>Założeniem</w:t>
      </w:r>
      <w:r>
        <w:t xml:space="preserve"> przyjętym przy konstrukcji pracy jest wykorzystanie do nakreślonego celu metod bayesowskich. </w:t>
      </w:r>
      <w:r w:rsidR="0055013B">
        <w:t xml:space="preserve">Praca ma charakter doświadczalny. </w:t>
      </w:r>
    </w:p>
    <w:p w:rsidR="007B7149" w:rsidRDefault="0055013B" w:rsidP="009F3397">
      <w:pPr>
        <w:spacing w:before="240" w:line="360" w:lineRule="auto"/>
        <w:jc w:val="both"/>
      </w:pPr>
      <w:r>
        <w:t xml:space="preserve">Cel pracy uważam </w:t>
      </w:r>
      <w:r w:rsidR="007B7149">
        <w:t xml:space="preserve">za dobrze sformułowany. Podjęte zagadnienie jest ciekawe z naukowego punktu widzenia i zdecydowanie </w:t>
      </w:r>
      <w:r w:rsidR="00522396">
        <w:t xml:space="preserve">ważne z punktu widzenia praktyki. </w:t>
      </w:r>
      <w:r w:rsidR="00372A62">
        <w:t xml:space="preserve">Obok celu rozprawy zdefiniowano na stronie 14 także jej tezy. Są te tezy aż cztery – i to niezbyt mi się podoba. Wolę rozprawy skoncentrowane na udowodnieniu jednej dostatecznie ważnej tezy, a nie rozpraszające wysiłek doktoranta i uwagę czytelnika na kilka różnych, z reguły mniej doniosłych celów. </w:t>
      </w:r>
      <w:r>
        <w:t>Tezy zasygnalizowane przez Panią mgr Molik mówią kolejno</w:t>
      </w:r>
      <w:r w:rsidR="00034972">
        <w:t>:</w:t>
      </w:r>
      <w:r>
        <w:t xml:space="preserve"> o zaletach wykorzystania w modelu CCL wielomianów cząstkowych, następnie anonsują zależność między </w:t>
      </w:r>
      <w:r w:rsidR="00034972">
        <w:t xml:space="preserve">logarytmem ryzyka czasu bez progresji i czasem oraz między logarytmem ryzyka czasu przeżycia całkowitego i czasu, w trzeciej tezie jest mowa o wyższości modelu zakładającego zróżnicowany wpływ wielu i stadium zaawansowania CLL nad modelem zakładającym jednakowy wpływ tych czynników, a ostatnia teza mówi o możliwości opracowania dynamicznej sieci bayesowskiej pozwalającej przewidywać wynik leczenia pacjentów z CLL.  Przytoczyłem te tezy w skrócie, ale nawet z tego skrótu widać, że odnoszą </w:t>
      </w:r>
      <w:r w:rsidR="00034972">
        <w:lastRenderedPageBreak/>
        <w:t xml:space="preserve">się one do spraw bardzo szczegółowych. Moja opinia jest taka, że lepiej było postawić jedną mocną tezę (tę ostatnią z czterech wymienionych) i dla wykazania tej tezy ogólnej tezy wskazać trzy (lub więcej) zagadnienia badawcze, które mogą tę tezę uwiarygodnić. </w:t>
      </w:r>
      <w:r w:rsidR="00972CD0">
        <w:t xml:space="preserve">Ale to tylko mój prywatny pogląd, z którym Doktorantka może się </w:t>
      </w:r>
      <w:r w:rsidR="00BB64B3">
        <w:t xml:space="preserve">oczywiście </w:t>
      </w:r>
      <w:r w:rsidR="00972CD0">
        <w:t xml:space="preserve">nie zgodzić. </w:t>
      </w:r>
    </w:p>
    <w:p w:rsidR="00BB64B3" w:rsidRDefault="00BB64B3" w:rsidP="009F3397">
      <w:pPr>
        <w:spacing w:before="240" w:line="360" w:lineRule="auto"/>
        <w:jc w:val="both"/>
      </w:pPr>
      <w:r>
        <w:t xml:space="preserve">Struktura i zawartość pracy nie budzą wątpliwości. </w:t>
      </w:r>
    </w:p>
    <w:p w:rsidR="00BB64B3" w:rsidRDefault="00BB64B3" w:rsidP="009F3397">
      <w:pPr>
        <w:spacing w:before="240" w:line="360" w:lineRule="auto"/>
        <w:jc w:val="both"/>
      </w:pPr>
      <w:r>
        <w:t xml:space="preserve">Pracę rozpoczynają dwa rozdziały mające charakter </w:t>
      </w:r>
      <w:r w:rsidR="001D1357">
        <w:t xml:space="preserve">czysto </w:t>
      </w:r>
      <w:r>
        <w:t>literaturowy. Rozdział 2. zawiera zwarty, ale bardzo dobrze nap</w:t>
      </w:r>
      <w:r w:rsidR="00A965B1">
        <w:t xml:space="preserve">isany opis rozważanej choroby. Opisano patofizjologię CLL oraz wybrane aspekty jej leczenia. Z punktu widzenia celu rozprawy najważniejszy jest (moim zdaniem) podrozdział 2.2, opisujący czynniki prognostyczne. </w:t>
      </w:r>
      <w:r w:rsidR="00876F98">
        <w:t xml:space="preserve">Rozdział ten ma charakter informacyjny, więc fakt, że nie zawiera wniosków można uznać za w pełni usprawiedliwiony. Rozdział 3. wprowadza pojęcie metaanalizy. </w:t>
      </w:r>
      <w:r w:rsidR="001D1357">
        <w:t xml:space="preserve">Tutaj za najważniejszy uważam podrozdział 3.3, w którym zarysowana jest (bardzo kompetentnie!) koncepcja bayesowskich metod odkrywania wiedzy. </w:t>
      </w:r>
    </w:p>
    <w:p w:rsidR="001D1357" w:rsidRDefault="001D1357" w:rsidP="009F3397">
      <w:pPr>
        <w:spacing w:before="240" w:line="360" w:lineRule="auto"/>
        <w:jc w:val="both"/>
      </w:pPr>
      <w:r>
        <w:t>Literaturowy charakter ma też podrozdział 4.1, w którym dokonano przeglądu piśmiennictwa na temat tera</w:t>
      </w:r>
      <w:r w:rsidR="004D52FE">
        <w:t xml:space="preserve">pii stosowanych w leczeniu CLL, a także podrozdział 4.2, w którym przedstawiono metody bezpośredniej metaanalizy. Natomiast </w:t>
      </w:r>
      <w:r w:rsidR="008C4FA3">
        <w:t xml:space="preserve">do dorobku naukowego Doktorantki zaliczam bardzo ładnie opracowany (także od strony graficznej!) podrozdział 4.3, zawierający ciekawą dyskusję i wartościowe wyniki. </w:t>
      </w:r>
    </w:p>
    <w:p w:rsidR="009E32DC" w:rsidRDefault="009E32DC" w:rsidP="009F3397">
      <w:pPr>
        <w:spacing w:before="240" w:line="360" w:lineRule="auto"/>
        <w:jc w:val="both"/>
      </w:pPr>
      <w:r>
        <w:t xml:space="preserve">Rozwiązując postawione zadanie (patrz wyżej – omówienie celu i tez rozprawy) Pani mgr Maria Molik zbudowała w rozdziale 5. metodę metaanalizy sieciowej. </w:t>
      </w:r>
      <w:r w:rsidR="00AA2572">
        <w:t xml:space="preserve">Rozdział ten z pewnością można zaliczyć do własnego dorobku naukowego Doktorantki, a zamieszczane w nim wyniki metaanalizy sieciowej są Jej wartościowym wkładem do uprawianej dyscypliny naukowej. Za najciekawsze w tym rozdziale uważam wyniki badania wpływu wybranych czynników na efekt leczenia CLL. Wyniki te wzbogacają wiedzę naukową na temat CLL, ale mają także walor praktyczny. </w:t>
      </w:r>
      <w:r w:rsidR="00375912">
        <w:t xml:space="preserve">Rozdział 5. zamykają dobrze opracowane wnioski, co jest jego kolejną zaletą. </w:t>
      </w:r>
    </w:p>
    <w:p w:rsidR="00375912" w:rsidRDefault="00375912" w:rsidP="009F3397">
      <w:pPr>
        <w:spacing w:before="240" w:line="360" w:lineRule="auto"/>
        <w:jc w:val="both"/>
      </w:pPr>
      <w:r>
        <w:t xml:space="preserve">Rozdział 6. podejmuje temat metaanalizy sieciowej efektywności stosowania leczenia CLL w odniesieniu do parametrów związanych z czasem przeżycia. Autorka </w:t>
      </w:r>
      <w:r w:rsidR="00C12A1C">
        <w:t xml:space="preserve">przedstawiła koncepcję rozważanej metody oraz – jak we wszystkich rozdziałach – przedstawiła bardzo ładny przegląd adekwatnej literatury. </w:t>
      </w:r>
      <w:r w:rsidR="00221C24">
        <w:t>W rozdziale tym pojawia się oryginalna koncepcja stworzenia modelu ryzyka zdefiniowanego przy użyciu wielomianów cząstkowych</w:t>
      </w:r>
      <w:r w:rsidR="00AE6B9E">
        <w:t>, co oceniam zdecydowanie pozytywnie. Cenna jest także przedstawiona przez Doktorantkę charakterystyka wybranych badań klinicznych</w:t>
      </w:r>
      <w:r w:rsidR="00325C67">
        <w:t xml:space="preserve"> oraz prezentacja i badanie dwóch modeli: Modelu ryzyka dla czasu bez progresji CLL oraz </w:t>
      </w:r>
      <w:r w:rsidR="00A111AA">
        <w:t xml:space="preserve">modelu ryzyka dla całkowitego przeżycia. Oba modele poddane zostały wnikliwym badaniom symulacyjnym, </w:t>
      </w:r>
      <w:r w:rsidR="00A111AA">
        <w:lastRenderedPageBreak/>
        <w:t xml:space="preserve">których wyniki przytoczono w rozprawie. </w:t>
      </w:r>
      <w:r w:rsidR="009D1A00">
        <w:t xml:space="preserve">Materiału badawczego nagromadzono w omawianym rozdziale tak dużo, że jego dyskusja, zawarta w podrozdziale 6.7 zajmuje aż 7 stronic. Trochę szkoda, że aż tak dużo, bo trudno te omawiane wyniki podsumować jakąś jedną dobrze uzasadnioną puentą. Czytając te rozważania miałem stale wrażenie, że w tym miejscu omawianej rozprawy „spoza drzew nie widać lasu”. </w:t>
      </w:r>
    </w:p>
    <w:p w:rsidR="009D1A00" w:rsidRDefault="003614C5" w:rsidP="009F3397">
      <w:pPr>
        <w:spacing w:before="240" w:line="360" w:lineRule="auto"/>
        <w:jc w:val="both"/>
      </w:pPr>
      <w:r>
        <w:t xml:space="preserve">Kolejny (siódmy) rozdział rozprawy wprowadza nowy temat, moim zdaniem słabiej związany z tytułem rozprawy, z jej celem i jej tezami. Wspomniany rozdział opisuje wieloośrodkowy system do gromadzenia danych pacjentów z CLL. Opisany system, nazwany </w:t>
      </w:r>
      <w:proofErr w:type="spellStart"/>
      <w:r>
        <w:t>NetBIAL</w:t>
      </w:r>
      <w:proofErr w:type="spellEnd"/>
      <w:r>
        <w:t xml:space="preserve">, jest niewątpliwie znaczącym osiągnięciem o dużym znaczeniu praktycznym, ale nie do końca jestem przekonany, czy w pełni uzasadnione jest zamieszczanie jego obszernego opisu w tej właśnie rozprawie doktorskiej. Podstawowe pytanie, jakie się tu nasuwa, dotyczy </w:t>
      </w:r>
      <w:r w:rsidR="00706F15">
        <w:t>roli Autorki rozprawy w projektowaniu i implementacji tego systemu. Nie ulega wątpliwości, że Pani mgr Maria Molik odegra</w:t>
      </w:r>
      <w:r w:rsidR="00C71D75">
        <w:t>ła znaczącą rolę w inicjowaniu,</w:t>
      </w:r>
      <w:r w:rsidR="00706F15">
        <w:t xml:space="preserve"> realizacji </w:t>
      </w:r>
      <w:r w:rsidR="00C71D75">
        <w:t xml:space="preserve">i implementacji </w:t>
      </w:r>
      <w:r w:rsidR="00706F15">
        <w:t xml:space="preserve">tego systemu – ale </w:t>
      </w:r>
      <w:r w:rsidR="00A853E8">
        <w:t xml:space="preserve">jest on w całości jej </w:t>
      </w:r>
      <w:r w:rsidR="00C71D75">
        <w:t xml:space="preserve">wyłączną </w:t>
      </w:r>
      <w:r w:rsidR="00A853E8">
        <w:t xml:space="preserve">własnością intelektualną? </w:t>
      </w:r>
      <w:r w:rsidR="00C71D75">
        <w:t>Z treści pracy nie wynika to w sposób wystarczająco jasny.</w:t>
      </w:r>
    </w:p>
    <w:p w:rsidR="00442EF8" w:rsidRDefault="00C71D75" w:rsidP="009F3397">
      <w:pPr>
        <w:spacing w:before="240" w:line="360" w:lineRule="auto"/>
        <w:jc w:val="both"/>
      </w:pPr>
      <w:r>
        <w:t xml:space="preserve">Ostatni (przed podsumowaniem) merytoryczny rozdział rozprawy przedstawia projekt, implementację i wyniki badania sieci bayesowskich (dynamicznych) przewidzianych do przewidywania efektywności leczenia CLL. Doktorantka stworzyła i przebadała dwie sieci: </w:t>
      </w:r>
      <w:r w:rsidRPr="00C71D75">
        <w:rPr>
          <w:b/>
          <w:i/>
        </w:rPr>
        <w:t>Stan zdrowia</w:t>
      </w:r>
      <w:r>
        <w:t xml:space="preserve"> oraz </w:t>
      </w:r>
      <w:r w:rsidRPr="00C71D75">
        <w:rPr>
          <w:b/>
          <w:i/>
        </w:rPr>
        <w:t>Leczenie</w:t>
      </w:r>
      <w:r>
        <w:t xml:space="preserve">. Obie sieci opracowano i przebadano bardzo starannie, </w:t>
      </w:r>
      <w:r w:rsidR="00023E7C">
        <w:t>`</w:t>
      </w:r>
      <w:r>
        <w:t xml:space="preserve">co zapisuję zdecydowanie „na plus” opiniowanej rozprawy doktorskie. </w:t>
      </w:r>
    </w:p>
    <w:p w:rsidR="00C71D75" w:rsidRDefault="00C71D75" w:rsidP="009F3397">
      <w:pPr>
        <w:spacing w:before="240" w:line="360" w:lineRule="auto"/>
        <w:jc w:val="both"/>
      </w:pPr>
      <w:r>
        <w:t>Całą rozprawę puentuje rozdział „Podsumowanie i wnioski”. Obszerny (8 stronic!), mądrze napisany ale nie zawierający wyrazistych konkluzji.</w:t>
      </w:r>
    </w:p>
    <w:p w:rsidR="00C71D75" w:rsidRDefault="00C71D75" w:rsidP="009F3397">
      <w:pPr>
        <w:spacing w:before="240" w:line="360" w:lineRule="auto"/>
        <w:jc w:val="both"/>
      </w:pPr>
      <w:r>
        <w:t xml:space="preserve">Pracę uzupełnia obszerna </w:t>
      </w:r>
      <w:r w:rsidR="00FE5A89">
        <w:t xml:space="preserve">(146 pozycji) bibliografia oraz cztery dodatki. </w:t>
      </w:r>
    </w:p>
    <w:p w:rsidR="00D96B15" w:rsidRDefault="00FE5A89" w:rsidP="009F3397">
      <w:pPr>
        <w:spacing w:before="240" w:line="360" w:lineRule="auto"/>
        <w:jc w:val="both"/>
      </w:pPr>
      <w:r>
        <w:t xml:space="preserve">Podsumowując moją opinię uważam, że Autorka poprawnie rozwiązała postawione zagadnienie naukowe a także przyczyniła się do wzbogacenia instrumentarium, jakim mogą się posługiwać </w:t>
      </w:r>
      <w:r w:rsidR="004223D0">
        <w:t xml:space="preserve">lekarze leczący CLL. Założenia przyjęte w pracy oraz użyte metody opiniuję pozytywnie. </w:t>
      </w:r>
    </w:p>
    <w:p w:rsidR="0055013B" w:rsidRDefault="00D96B15" w:rsidP="009F3397">
      <w:pPr>
        <w:spacing w:before="240" w:line="360" w:lineRule="auto"/>
        <w:jc w:val="both"/>
      </w:pPr>
      <w:r>
        <w:t xml:space="preserve">Oryginalnym elementem rozprawy jest konsekwentne zastosowanie metod metaanalizy, a w szczególności sieci bayesowskich do oceny stanu zdrowia pacjentów CLL, optymalizacji procedur terapeutycznych oraz (zwłaszcza!) prognozowania ich skutków, Moim zdaniem w wielu obszarach przeprowadzonych badań wyniki uzyskane przez Panią mgr Marię Molik stanowią nowość w stosunku do stanu wiedzy zawartego w literaturze światowej – i na tej podstawie uważam,  że cel rozprawy został osiągnięty. Które konkretnie wyniki stanowią taką nowość – starałem się wskazać przy omawianiu (wyżej) treści rozprawy. </w:t>
      </w:r>
    </w:p>
    <w:p w:rsidR="00D96B15" w:rsidRDefault="00D96B15" w:rsidP="009F3397">
      <w:pPr>
        <w:spacing w:before="240" w:line="360" w:lineRule="auto"/>
        <w:jc w:val="both"/>
      </w:pPr>
      <w:r>
        <w:t xml:space="preserve">Autorka pracy </w:t>
      </w:r>
      <w:r w:rsidR="008E6F28">
        <w:t xml:space="preserve">wykazuje pożądaną umiejętność przedstawiana swoich wyników naukowych, buduje prawidłowy wywód od stanu literatury światowej, poprzez własne koncepcje, aż do wyników starannie zebranych w formie tabel oraz dopracowanych graficznie wykresów. To, czego brak w warsztacie naukowym Doktorantki – to umiejętność dobrej syntezy i trafnego wartościowania uzyskanych wyników. Liczne w pracy dyskusje i wnioski tym się cechują, że z taką samą starannością omawiane są wyniki ważne, stanowiące wartościowy wkład Autorki, oraz wyniki drobne, w istocie niewiele wnoszące i mające relatywnie mniejszą wagę. Ale ogólnie sposób pisania pracy uważam za godny pochwały. </w:t>
      </w:r>
    </w:p>
    <w:p w:rsidR="00372A62" w:rsidRDefault="00372A62" w:rsidP="009F3397">
      <w:pPr>
        <w:spacing w:before="240" w:line="360" w:lineRule="auto"/>
        <w:jc w:val="both"/>
      </w:pPr>
      <w:r>
        <w:t xml:space="preserve">Praca jest generalnie dobra merytorycznie i starannie zredagowana. Jednak kilka drobnych mankamentów dostrzegłem i chcę się podzielić z Autorką moimi spostrzeżeniami – w nadziei, że na skutek tego Jej przyszłe prace będą jeszcze lepsze :-) . </w:t>
      </w:r>
    </w:p>
    <w:p w:rsidR="00200A76" w:rsidRDefault="00200A76" w:rsidP="009F3397">
      <w:pPr>
        <w:spacing w:before="240" w:line="360" w:lineRule="auto"/>
        <w:jc w:val="both"/>
      </w:pPr>
      <w:r>
        <w:t xml:space="preserve">Zachęcam Doktorantkę do pracy nad </w:t>
      </w:r>
      <w:r w:rsidR="00A9665D">
        <w:t xml:space="preserve">umiejętności rangowania </w:t>
      </w:r>
      <w:r>
        <w:t xml:space="preserve">swoich osiągnięć naukowych. Przeciążanie </w:t>
      </w:r>
      <w:r w:rsidRPr="00A9665D">
        <w:rPr>
          <w:b/>
        </w:rPr>
        <w:t>omówienia</w:t>
      </w:r>
      <w:r>
        <w:t xml:space="preserve"> wyników badań ich nadmierna liczbą (</w:t>
      </w:r>
      <w:r w:rsidRPr="0010409C">
        <w:rPr>
          <w:b/>
        </w:rPr>
        <w:t>omawianych</w:t>
      </w:r>
      <w:r>
        <w:t>, a nie wykonanych – tych ostatnich im więcej tym lepiej :-) )</w:t>
      </w:r>
      <w:r w:rsidR="00A9665D">
        <w:t xml:space="preserve"> skutkuje tym, że czytelnik nadal nie wie, co jest </w:t>
      </w:r>
      <w:r w:rsidR="0010409C">
        <w:t>ważne, a co tylko dodatkowe -</w:t>
      </w:r>
      <w:r w:rsidR="00A9665D">
        <w:t xml:space="preserve"> i gubi się w interpretacjach. </w:t>
      </w:r>
      <w:r w:rsidR="0010409C">
        <w:t xml:space="preserve">To samo dotyczy publikacji opartych na rozprawie. Z pewnością wyniki uzyskane przez Doktorantkę mogą być podstawa publikacji w dobrych czasopismach. Ale tam wnioski muszą się mieścić w najwyżej kilkunastu zdaniach – i sformułowanie tych kilkunastu zdań na obronę doktoratu rekomenduje Pani mgr Molik jako ćwiczenie wstępne. </w:t>
      </w:r>
    </w:p>
    <w:p w:rsidR="00372A62" w:rsidRPr="007B7149" w:rsidRDefault="0010409C" w:rsidP="009F3397">
      <w:pPr>
        <w:spacing w:before="240" w:line="360" w:lineRule="auto"/>
        <w:jc w:val="both"/>
      </w:pPr>
      <w:r>
        <w:t xml:space="preserve">Praca nie zawiera dostrzegalnych dla mnie błędów merytorycznych. Jest jednak jedne drobiazg terminologicznej natury. Otóż w </w:t>
      </w:r>
      <w:r w:rsidR="00372A62">
        <w:t>pierwszej tezie rozprawy a także w podrozdziale 6.3 Doktorantka konsekwentnie używa określenia „rzędu wielomianu”. Wydaje mi się, że określenie „</w:t>
      </w:r>
      <w:r w:rsidR="00372A62" w:rsidRPr="0055013B">
        <w:rPr>
          <w:b/>
        </w:rPr>
        <w:t>rząd</w:t>
      </w:r>
      <w:r w:rsidR="00372A62">
        <w:t xml:space="preserve">” odnosi się zwykle do rachunku różniczkowego (na przykład równanie różniczkowe drugiego rzędu), natomiast w odniesieniu do wielomianów mówi się o ich </w:t>
      </w:r>
      <w:r w:rsidR="00372A62" w:rsidRPr="0055013B">
        <w:rPr>
          <w:b/>
        </w:rPr>
        <w:t>stopniu</w:t>
      </w:r>
      <w:r w:rsidR="00372A62">
        <w:t xml:space="preserve">, a nie rzędzie. </w:t>
      </w:r>
    </w:p>
    <w:p w:rsidR="007B7149" w:rsidRPr="0010409C" w:rsidRDefault="0010409C" w:rsidP="009F3397">
      <w:pPr>
        <w:spacing w:before="240" w:line="360" w:lineRule="auto"/>
        <w:jc w:val="both"/>
      </w:pPr>
      <w:r>
        <w:t xml:space="preserve">Przechodząc do finalnej oceny rozprawy stwierdzam, że spełnia ona ustawowe i zwyczajowe wymagania stawiane rozprawom doktorskim i wnioskuję do wysokiej Rady Naukowej IBIB PAN o </w:t>
      </w:r>
      <w:r w:rsidRPr="00036C4F">
        <w:rPr>
          <w:b/>
        </w:rPr>
        <w:t>przyję</w:t>
      </w:r>
      <w:bookmarkStart w:id="0" w:name="_GoBack"/>
      <w:bookmarkEnd w:id="0"/>
      <w:r w:rsidRPr="00036C4F">
        <w:rPr>
          <w:b/>
        </w:rPr>
        <w:t>cie</w:t>
      </w:r>
      <w:r>
        <w:t xml:space="preserve"> rozprawy i dopuszczenie jej Autorki, mgr inż. </w:t>
      </w:r>
      <w:r>
        <w:rPr>
          <w:b/>
        </w:rPr>
        <w:t>Marii</w:t>
      </w:r>
      <w:r w:rsidRPr="000E049A">
        <w:rPr>
          <w:b/>
        </w:rPr>
        <w:t xml:space="preserve"> Molik</w:t>
      </w:r>
      <w:r>
        <w:rPr>
          <w:b/>
        </w:rPr>
        <w:t xml:space="preserve"> </w:t>
      </w:r>
      <w:r>
        <w:t xml:space="preserve">do jej publicznej obrony. </w:t>
      </w:r>
    </w:p>
    <w:sectPr w:rsidR="007B7149" w:rsidRPr="0010409C" w:rsidSect="003958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30" w:rsidRDefault="00C94230" w:rsidP="00D96B15">
      <w:pPr>
        <w:spacing w:after="0" w:line="240" w:lineRule="auto"/>
      </w:pPr>
      <w:r>
        <w:separator/>
      </w:r>
    </w:p>
  </w:endnote>
  <w:endnote w:type="continuationSeparator" w:id="0">
    <w:p w:rsidR="00C94230" w:rsidRDefault="00C94230" w:rsidP="00D9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543419"/>
      <w:docPartObj>
        <w:docPartGallery w:val="Page Numbers (Bottom of Page)"/>
        <w:docPartUnique/>
      </w:docPartObj>
    </w:sdtPr>
    <w:sdtContent>
      <w:p w:rsidR="00D96B15" w:rsidRDefault="0039588E">
        <w:pPr>
          <w:pStyle w:val="Stopka"/>
          <w:jc w:val="right"/>
        </w:pPr>
        <w:r>
          <w:fldChar w:fldCharType="begin"/>
        </w:r>
        <w:r w:rsidR="00D96B15">
          <w:instrText>PAGE   \* MERGEFORMAT</w:instrText>
        </w:r>
        <w:r>
          <w:fldChar w:fldCharType="separate"/>
        </w:r>
        <w:r w:rsidR="00023E7C">
          <w:rPr>
            <w:noProof/>
          </w:rPr>
          <w:t>4</w:t>
        </w:r>
        <w:r>
          <w:fldChar w:fldCharType="end"/>
        </w:r>
      </w:p>
    </w:sdtContent>
  </w:sdt>
  <w:p w:rsidR="00D96B15" w:rsidRDefault="00D96B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30" w:rsidRDefault="00C94230" w:rsidP="00D96B15">
      <w:pPr>
        <w:spacing w:after="0" w:line="240" w:lineRule="auto"/>
      </w:pPr>
      <w:r>
        <w:separator/>
      </w:r>
    </w:p>
  </w:footnote>
  <w:footnote w:type="continuationSeparator" w:id="0">
    <w:p w:rsidR="00C94230" w:rsidRDefault="00C94230" w:rsidP="00D96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0DB"/>
    <w:rsid w:val="00023E7C"/>
    <w:rsid w:val="00034972"/>
    <w:rsid w:val="00036C4F"/>
    <w:rsid w:val="000D34F7"/>
    <w:rsid w:val="000E049A"/>
    <w:rsid w:val="0010409C"/>
    <w:rsid w:val="001268ED"/>
    <w:rsid w:val="00185A1D"/>
    <w:rsid w:val="001D1357"/>
    <w:rsid w:val="00200A76"/>
    <w:rsid w:val="00221C24"/>
    <w:rsid w:val="00243081"/>
    <w:rsid w:val="003065C9"/>
    <w:rsid w:val="00325C67"/>
    <w:rsid w:val="003614C5"/>
    <w:rsid w:val="00372A62"/>
    <w:rsid w:val="00375912"/>
    <w:rsid w:val="0039588E"/>
    <w:rsid w:val="003B33BE"/>
    <w:rsid w:val="004223D0"/>
    <w:rsid w:val="00442EF8"/>
    <w:rsid w:val="00467893"/>
    <w:rsid w:val="004D52FE"/>
    <w:rsid w:val="005120DB"/>
    <w:rsid w:val="00522396"/>
    <w:rsid w:val="0055013B"/>
    <w:rsid w:val="00706F15"/>
    <w:rsid w:val="00791ABF"/>
    <w:rsid w:val="007B7149"/>
    <w:rsid w:val="007E2C6A"/>
    <w:rsid w:val="00876F98"/>
    <w:rsid w:val="008C4FA3"/>
    <w:rsid w:val="008E6F28"/>
    <w:rsid w:val="008F3199"/>
    <w:rsid w:val="00972CD0"/>
    <w:rsid w:val="00981EBF"/>
    <w:rsid w:val="009A2F74"/>
    <w:rsid w:val="009D1A00"/>
    <w:rsid w:val="009E32DC"/>
    <w:rsid w:val="009F3397"/>
    <w:rsid w:val="009F4E32"/>
    <w:rsid w:val="00A111AA"/>
    <w:rsid w:val="00A853E8"/>
    <w:rsid w:val="00A965B1"/>
    <w:rsid w:val="00A9665D"/>
    <w:rsid w:val="00AA2572"/>
    <w:rsid w:val="00AE6B9E"/>
    <w:rsid w:val="00BB64B3"/>
    <w:rsid w:val="00C12A1C"/>
    <w:rsid w:val="00C71D75"/>
    <w:rsid w:val="00C87E7C"/>
    <w:rsid w:val="00C94230"/>
    <w:rsid w:val="00D1131D"/>
    <w:rsid w:val="00D96B15"/>
    <w:rsid w:val="00FE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88E"/>
  </w:style>
  <w:style w:type="paragraph" w:styleId="Nagwek1">
    <w:name w:val="heading 1"/>
    <w:basedOn w:val="Normalny"/>
    <w:next w:val="Normalny"/>
    <w:link w:val="Nagwek1Znak"/>
    <w:uiPriority w:val="9"/>
    <w:qFormat/>
    <w:rsid w:val="000E0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9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B15"/>
  </w:style>
  <w:style w:type="paragraph" w:styleId="Stopka">
    <w:name w:val="footer"/>
    <w:basedOn w:val="Normalny"/>
    <w:link w:val="StopkaZnak"/>
    <w:uiPriority w:val="99"/>
    <w:unhideWhenUsed/>
    <w:rsid w:val="00D9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0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9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B15"/>
  </w:style>
  <w:style w:type="paragraph" w:styleId="Stopka">
    <w:name w:val="footer"/>
    <w:basedOn w:val="Normalny"/>
    <w:link w:val="StopkaZnak"/>
    <w:uiPriority w:val="99"/>
    <w:unhideWhenUsed/>
    <w:rsid w:val="00D9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adeusiewic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ad@agh.edu.p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Tadeusiewicz</dc:creator>
  <cp:lastModifiedBy>wpierzgala</cp:lastModifiedBy>
  <cp:revision>2</cp:revision>
  <dcterms:created xsi:type="dcterms:W3CDTF">2017-09-11T05:49:00Z</dcterms:created>
  <dcterms:modified xsi:type="dcterms:W3CDTF">2017-09-11T05:49:00Z</dcterms:modified>
</cp:coreProperties>
</file>